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</w:rPr>
      </w:pPr>
      <w:bookmarkStart w:id="0" w:name="_GoBack"/>
      <w:bookmarkEnd w:id="0"/>
      <w:r>
        <w:rPr>
          <w:b/>
        </w:rPr>
        <w:t>TERMO DE REFERÊNCIA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1. DO OBJETO:</w:t>
      </w:r>
    </w:p>
    <w:p>
      <w:pPr>
        <w:pStyle w:val="BodyText3"/>
        <w:tabs>
          <w:tab w:val="clear" w:pos="708"/>
          <w:tab w:val="left" w:pos="300" w:leader="none"/>
        </w:tabs>
        <w:spacing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 O presente Termo de Referência tem por objeto </w:t>
      </w:r>
      <w:r>
        <w:rPr>
          <w:sz w:val="24"/>
          <w:szCs w:val="24"/>
        </w:rPr>
        <w:t>a aquisição</w:t>
      </w:r>
      <w:r>
        <w:rPr/>
        <w:t xml:space="preserve"> </w:t>
      </w:r>
      <w:r>
        <w:rPr>
          <w:rFonts w:eastAsia="MS Mincho"/>
          <w:bCs/>
          <w:sz w:val="24"/>
          <w:szCs w:val="24"/>
        </w:rPr>
        <w:t xml:space="preserve">de uma central de alarme e seus respectivos componentes, bem como a sua instalação </w:t>
      </w:r>
      <w:r>
        <w:rPr>
          <w:sz w:val="24"/>
          <w:szCs w:val="24"/>
        </w:rPr>
        <w:t xml:space="preserve">em </w:t>
      </w:r>
      <w:r>
        <w:rPr>
          <w:color w:val="000000"/>
          <w:sz w:val="24"/>
          <w:szCs w:val="24"/>
        </w:rPr>
        <w:t>atendimento às necessidades da Câmara Municipal, sediada na rua Getúlio Vargas, nº 800, Centro, Itaúna, Minas Gerais,</w:t>
      </w:r>
      <w:r>
        <w:rPr>
          <w:rFonts w:eastAsia="MS Mincho"/>
          <w:bCs/>
          <w:sz w:val="24"/>
          <w:szCs w:val="24"/>
        </w:rPr>
        <w:t xml:space="preserve"> </w:t>
      </w:r>
      <w:r>
        <w:rPr>
          <w:sz w:val="24"/>
          <w:szCs w:val="24"/>
        </w:rPr>
        <w:t>conforme especificações e quantidades estabelecidas neste Termo.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  <w:t>2. JUSTIFICATIVA:</w:t>
      </w:r>
    </w:p>
    <w:p>
      <w:pPr>
        <w:pStyle w:val="Western"/>
        <w:spacing w:beforeAutospacing="0" w:before="0" w:after="0"/>
        <w:jc w:val="both"/>
        <w:rPr/>
      </w:pPr>
      <w:r>
        <w:rPr/>
        <w:t xml:space="preserve">A presente aquisição visa possibilitar maior controle do acesso área externa desta Casa de Leis, melhorando </w:t>
      </w:r>
      <w:r>
        <w:rPr/>
        <w:t>a</w:t>
      </w:r>
      <w:r>
        <w:rPr/>
        <w:t xml:space="preserve"> segurança patrimonial da Câmara Municipal, uma vez que aconteceu alguns furtos de refletores na área externa.</w:t>
      </w:r>
    </w:p>
    <w:p>
      <w:pPr>
        <w:pStyle w:val="Western"/>
        <w:spacing w:beforeAutospacing="0" w:before="0" w:after="0"/>
        <w:jc w:val="both"/>
        <w:rPr/>
      </w:pPr>
      <w:r>
        <w:rPr/>
        <w:br/>
      </w:r>
      <w:r>
        <w:rPr>
          <w:b/>
        </w:rPr>
        <w:t>3. DA DESCRIÇÃO E ESPECIFICAÇÃO DO MATERIAL:</w:t>
      </w:r>
      <w:r>
        <w:rPr/>
        <w:br/>
        <w:t>3.1 O material objeto do presente Termo de Referência deverá seguir as especificações abaixo detalhadas:</w:t>
      </w:r>
    </w:p>
    <w:p>
      <w:pPr>
        <w:pStyle w:val="Western"/>
        <w:spacing w:beforeAutospacing="0" w:before="0" w:after="0"/>
        <w:jc w:val="both"/>
        <w:rPr/>
      </w:pPr>
      <w:r>
        <w:rPr/>
      </w:r>
    </w:p>
    <w:tbl>
      <w:tblPr>
        <w:tblStyle w:val="Tabelacomgrade"/>
        <w:tblW w:w="8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2927"/>
        <w:gridCol w:w="1587"/>
        <w:gridCol w:w="1677"/>
        <w:gridCol w:w="987"/>
      </w:tblGrid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ITEM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DESCRIÇÃO DOS PRODUTOS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QUANTIDADE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MARCA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VALOR TOTAL</w:t>
            </w:r>
          </w:p>
        </w:tc>
      </w:tr>
      <w:tr>
        <w:trPr>
          <w:trHeight w:val="339" w:hRule="atLeast"/>
        </w:trPr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01</w:t>
            </w:r>
          </w:p>
        </w:tc>
        <w:tc>
          <w:tcPr>
            <w:tcW w:w="2927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CENTRAL DE ALARME</w:t>
            </w:r>
          </w:p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Active 20 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01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JFL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02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TECLADO DE SENHA </w:t>
            </w:r>
          </w:p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t-BR" w:bidi="ar-SA"/>
              </w:rPr>
              <w:t>Tech 300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01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JFL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>
          <w:trHeight w:val="483" w:hRule="atLeast"/>
        </w:trPr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03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t-BR" w:bidi="ar-SA"/>
              </w:rPr>
              <w:t>BATERIA SELADA</w:t>
            </w:r>
          </w:p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01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INTELBRAS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04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SIRENE INSTALADA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02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JFL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05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t-BR" w:bidi="ar-SA"/>
              </w:rPr>
              <w:t>PAR DE SENSOR INFRAVERMELHO ATIVO 2 FEIXES COM ARTICULADOR PARA ATÉ 60 METROS IRA 315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05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JFL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06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MODULO ETHERNET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1 UNI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JFL EQUIVALENTE OU SUPERIOR</w:t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07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CABOS  DE REDE UTP CAT 5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100 MTS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08</w:t>
            </w:r>
          </w:p>
        </w:tc>
        <w:tc>
          <w:tcPr>
            <w:tcW w:w="292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t-BR" w:bidi="ar-SA"/>
              </w:rPr>
              <w:t>CABOS PARALELOS 0,75/1,5</w:t>
            </w:r>
          </w:p>
        </w:tc>
        <w:tc>
          <w:tcPr>
            <w:tcW w:w="15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100 MTS</w:t>
            </w:r>
          </w:p>
        </w:tc>
        <w:tc>
          <w:tcPr>
            <w:tcW w:w="167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87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09</w:t>
            </w:r>
          </w:p>
        </w:tc>
        <w:tc>
          <w:tcPr>
            <w:tcW w:w="4514" w:type="dxa"/>
            <w:gridSpan w:val="2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 xml:space="preserve">MÃO DE OBRA </w:t>
            </w:r>
          </w:p>
        </w:tc>
        <w:tc>
          <w:tcPr>
            <w:tcW w:w="2664" w:type="dxa"/>
            <w:gridSpan w:val="2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8781" w:type="dxa"/>
            <w:gridSpan w:val="5"/>
            <w:tcBorders/>
          </w:tcPr>
          <w:p>
            <w:pPr>
              <w:pStyle w:val="Western"/>
              <w:widowControl/>
              <w:spacing w:lineRule="auto" w:line="360" w:beforeAutospacing="0"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t-BR" w:bidi="ar-SA"/>
              </w:rPr>
              <w:t>VALOR GLOBAL DA PROPOSTA ORÇAMENTÁRIA:</w:t>
            </w:r>
          </w:p>
        </w:tc>
      </w:tr>
    </w:tbl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3.2 A proposta será analisada por MENOR PREÇO GLOBAL.</w:t>
      </w:r>
    </w:p>
    <w:p>
      <w:pPr>
        <w:pStyle w:val="Normal"/>
        <w:spacing w:lineRule="auto" w:line="276" w:beforeAutospacing="1" w:after="0"/>
        <w:jc w:val="both"/>
        <w:rPr>
          <w:b/>
          <w:b/>
          <w:color w:val="000000"/>
        </w:rPr>
      </w:pPr>
      <w:r>
        <w:rPr>
          <w:b/>
          <w:bCs/>
          <w:color w:val="000000"/>
        </w:rPr>
        <w:t xml:space="preserve">4. DO LOCAL DE </w:t>
      </w:r>
      <w:r>
        <w:rPr>
          <w:b/>
          <w:color w:val="000000"/>
        </w:rPr>
        <w:t>ENTREGA: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4.1. A entrega do materiais e a respectiva instalação deverá ser realizadana na área externa da Câmara Municipal de Itaúna/MG situada na avenida Getúlio Vargas, nº 800, Centro, devendo ser previamente agendada, utilizando como forma de comunicação oficial o e-mail: </w:t>
      </w:r>
      <w:hyperlink r:id="rId2">
        <w:r>
          <w:rPr>
            <w:rStyle w:val="LinkdaInternet"/>
          </w:rPr>
          <w:t>compras@cmitauna.mg</w:t>
        </w:r>
      </w:hyperlink>
      <w:r>
        <w:rPr>
          <w:color w:val="000000"/>
        </w:rPr>
        <w:t>. gov.br e/ou telefone (37) 3249-2066.</w:t>
        <w:br/>
        <w:t>4.2. Os materiais e a prestação de serviço deverá ser realizado de segunda a sexta-feira dentro do horário de 8h às 17h.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4.3. Não poderá ser cobrado posteriormente à entrega da cotação, nenhum valor a mais referente à nenhum tipo material utilizado para instalar a central de alarme, bem como transporte até o local, disponibilização dos produtos ou qualquer outro item. Caso o proponente julgue necessário a cobrança de tais valores, deverá considerá-los no momento em que estiver realizando seu orçamento e incluí-los em seu valor total a ser apresentado à Câmara Municipal de Itaúna.</w:t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5. RECEBIMENTO DOS MATERIAIS: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5.1 Os materiais serão recebidos, na sede da Câmara Municipal de Itaúna/MG, conforme pedido feito pelo responsável.  </w:t>
      </w:r>
    </w:p>
    <w:p>
      <w:pPr>
        <w:pStyle w:val="Normal"/>
        <w:jc w:val="both"/>
        <w:rPr/>
      </w:pPr>
      <w:r>
        <w:rPr/>
        <w:t>5.2 O materiais poderão ser rejeitados, no todo ou em parte, quando em desacordo com as especificações constantes neste Termo de Referência e na proposta comercial.</w:t>
      </w:r>
    </w:p>
    <w:p>
      <w:pPr>
        <w:pStyle w:val="Normal"/>
        <w:jc w:val="both"/>
        <w:rPr>
          <w:color w:val="000000"/>
        </w:rPr>
      </w:pPr>
      <w:r>
        <w:rPr/>
        <w:t xml:space="preserve"> </w:t>
      </w:r>
      <w:r>
        <w:rPr>
          <w:color w:val="000000"/>
        </w:rPr>
        <w:t>5.3. A aceitação do objeto desta licitação somente será efetivada após o material ter sido examinado e considerado em condições de uso, quando será declarado o recebimento definitivo. A Câmara dará o prazo 05 dias úteis para fazer esta análise.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6. GARANTIA</w:t>
      </w:r>
    </w:p>
    <w:p>
      <w:pPr>
        <w:pStyle w:val="Normal"/>
        <w:jc w:val="both"/>
        <w:rPr/>
      </w:pPr>
      <w:r>
        <w:rPr>
          <w:color w:val="000000"/>
        </w:rPr>
        <w:t>6.1</w:t>
      </w:r>
      <w:r>
        <w:rPr>
          <w:b/>
          <w:color w:val="000000"/>
        </w:rPr>
        <w:t xml:space="preserve"> </w:t>
      </w:r>
      <w:r>
        <w:rPr/>
        <w:t xml:space="preserve"> Garantia de 12 meses, em relação aos materiais e o serviço prestado, vigorando a partir da data do recebimento definitivo dos materiais  e sua respectiva instalação que constará no termo de recebimento.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7. DAS OBRIGAÇÕES E RESPONSABILIDADES DO FORNECEDOR:</w:t>
      </w:r>
    </w:p>
    <w:p>
      <w:pPr>
        <w:pStyle w:val="Normal"/>
        <w:jc w:val="both"/>
        <w:rPr/>
      </w:pPr>
      <w:r>
        <w:rPr/>
        <w:t xml:space="preserve">7.1. São obrigações do fornecedor, entregar os materiais e executar o serviço dentro dos padrões estabelecidos pelo Setor de Compras, de acordo com o especificado neste Termo de Referência, responsabilizando-se por eventuais prejuízos decorrentes do descumprimento de qualquer cláusula ou condição aqui estabelecida; </w:t>
      </w:r>
    </w:p>
    <w:p>
      <w:pPr>
        <w:pStyle w:val="Normal"/>
        <w:jc w:val="both"/>
        <w:rPr/>
      </w:pPr>
      <w:r>
        <w:rPr/>
        <w:t xml:space="preserve">7.2. Comunicar antecipadamente a data e horário da entrega, não sendo aceito os materiais que estiver em desacordo com as especificações constantes deste Termo, nem quaisquer pleitos de faturamentos extraordinários sob pretexto de perfeito funcionamento e conclusão do objeto contratado. </w:t>
      </w:r>
    </w:p>
    <w:p>
      <w:pPr>
        <w:pStyle w:val="Normal"/>
        <w:jc w:val="both"/>
        <w:rPr/>
      </w:pPr>
      <w:r>
        <w:rPr/>
        <w:t xml:space="preserve">7.3. Dispor-se a toda e qualquer fiscalização do Setor de Compras, no tocante a entrega dos materiais, assim como ao cumprimento das obrigações previstas neste Termo de Referência; </w:t>
      </w:r>
    </w:p>
    <w:p>
      <w:pPr>
        <w:pStyle w:val="Normal"/>
        <w:jc w:val="both"/>
        <w:rPr/>
      </w:pPr>
      <w:r>
        <w:rPr/>
        <w:t xml:space="preserve">7.4. Prover todos os meios necessários à garantia da plena entrega dos materiais, inclusive considerados os casos de greve ou paralisação de qualquer natureza; </w:t>
      </w:r>
    </w:p>
    <w:p>
      <w:pPr>
        <w:pStyle w:val="Normal"/>
        <w:jc w:val="both"/>
        <w:rPr/>
      </w:pPr>
      <w:r>
        <w:rPr/>
        <w:t xml:space="preserve">7.5. Comunicar imediatamente ao Setor de Compras qualquer alteração ocorrida no endereço, conta bancária e outros julgáveis necessários para recebimento de correspondência; </w:t>
      </w:r>
    </w:p>
    <w:p>
      <w:pPr>
        <w:pStyle w:val="Normal"/>
        <w:jc w:val="both"/>
        <w:rPr/>
      </w:pPr>
      <w:r>
        <w:rPr/>
        <w:t>7.6 Substituir em qualquer tempo e sem qualquer ônus a Câmara Municipal de Itaúna/MG no todo ou em parte o material devolvido pela mesma, no prazo de 24 horas, caso constatadas divergências nas especificações.</w:t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8. DAS OBRIGAÇÕES E RESPONSABILIDADES DO CONTRATANTE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8.1. Exercer a fiscalização dos serviços através do setor de almoxarifado da Câmara Municipal de Itaúna;</w:t>
      </w:r>
    </w:p>
    <w:p>
      <w:pPr>
        <w:pStyle w:val="Normal"/>
        <w:jc w:val="both"/>
        <w:rPr/>
      </w:pPr>
      <w:r>
        <w:rPr/>
        <w:t>8.2.  Efetuar o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Style w:val="Fontepargpadro3"/>
          <w:rFonts w:eastAsia="Calibri" w:cs="Arial"/>
          <w:b/>
          <w:b/>
          <w:kern w:val="2"/>
          <w:lang w:eastAsia="en-US"/>
        </w:rPr>
      </w:pPr>
      <w:r>
        <w:rPr>
          <w:rStyle w:val="Fontepargpadro3"/>
          <w:rFonts w:eastAsia="Arial" w:cs="Arial"/>
          <w:b/>
        </w:rPr>
        <w:t>9</w:t>
      </w:r>
      <w:r>
        <w:rPr>
          <w:rStyle w:val="Fontepargpadro3"/>
          <w:rFonts w:eastAsia="Calibri" w:cs="Arial"/>
          <w:b/>
          <w:kern w:val="2"/>
          <w:lang w:eastAsia="en-US"/>
        </w:rPr>
        <w:t>. DA VISTORIA</w:t>
      </w:r>
    </w:p>
    <w:p>
      <w:pPr>
        <w:pStyle w:val="Normal"/>
        <w:spacing w:lineRule="auto" w:line="360"/>
        <w:jc w:val="both"/>
        <w:rPr/>
      </w:pPr>
      <w:r>
        <w:rPr>
          <w:rStyle w:val="Fontepargpadro3"/>
          <w:rFonts w:eastAsia="Calibri" w:cs="Arial"/>
          <w:kern w:val="2"/>
          <w:lang w:eastAsia="en-US"/>
        </w:rPr>
        <w:t>9.1 Para elaboração da proposta, é recomendado ao licitante visitar o local da realização do serviço, mediante prévio agendamento pelo telefone (37) 3249 2066, nos horários entre 8:00 às 16:00h, de segunda a sexta-feira, no Departamento de Compras, com o servidor Sílvio ou por e-mail: compras@camitauna.mg.gov.br. OBSERVAÇÃO: “O objetivo da visita técnica vem a ser a comprovação de que todos os licitantes conhecem o locaL da execução dos serviços e os MATERIAIS  à serem gastos etc, via de consequência, suas propostas de preços refletirão com exatidão os materiais  utilizados e o serviço a ser executado, evitando-se futuros pleitos de aditivos ao contratante.”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color w:val="000000"/>
        </w:rPr>
      </w:pPr>
      <w:r>
        <w:rPr>
          <w:b/>
          <w:color w:val="000000"/>
        </w:rPr>
        <w:t>9. DA PROPOSTA COMERCIAL:</w:t>
      </w:r>
    </w:p>
    <w:p>
      <w:pPr>
        <w:pStyle w:val="Normal"/>
        <w:spacing w:lineRule="auto" w:line="360"/>
        <w:jc w:val="both"/>
        <w:rPr/>
      </w:pPr>
      <w:r>
        <w:rPr>
          <w:rStyle w:val="Fontepargpadro3"/>
          <w:rFonts w:eastAsia="Arial" w:cs="Arial"/>
        </w:rPr>
        <w:t>9.1.</w:t>
      </w:r>
      <w:r>
        <w:rPr>
          <w:rStyle w:val="Fontepargpadro3"/>
          <w:rFonts w:eastAsia="Arial"/>
        </w:rPr>
        <w:t xml:space="preserve"> </w:t>
      </w:r>
      <w:r>
        <w:rPr>
          <w:rStyle w:val="Fontepargpadro3"/>
          <w:rFonts w:eastAsia="Arial"/>
          <w:color w:val="000000"/>
        </w:rPr>
        <w:t xml:space="preserve">A proposta deverá ser entregue através de orçamento próprio do fornecedor, em papel timbrado ou neste próprio documento, desde consta dados cadastrais e carimbo CNPJ, diretamente na Secretaria Administrativa e Financeira da Câmara Municipal, sediada na rua Getúlio Vargas, nº 800, Centro, Itaúna, Minas Gerais, CEP 35680-037, ou poderá também ser enviada via e-mail, desde que contenha os dados da empresa, como CNPJ, endereço completo, telefone e e-mail de contato e assinado pelo responsável, bem como a </w:t>
      </w:r>
      <w:r>
        <w:rPr>
          <w:rStyle w:val="Fontepargpadro3"/>
          <w:rFonts w:eastAsia="Arial"/>
        </w:rPr>
        <w:t>marca dos produtos e o prazo mínimo de 60 dias de validade da proposta comercial.</w:t>
      </w:r>
    </w:p>
    <w:p>
      <w:pPr>
        <w:pStyle w:val="Normal"/>
        <w:spacing w:lineRule="auto" w:line="360"/>
        <w:jc w:val="both"/>
        <w:rPr/>
      </w:pPr>
      <w:r>
        <w:rPr>
          <w:rStyle w:val="Fontepargpadro3"/>
          <w:rFonts w:eastAsia="Arial" w:cs="Arial"/>
        </w:rPr>
        <w:t>13.2. Nos preços da proposta deverão estar inclusas todas as despesas e custos diretos e indiretos, como impostos, contribuições, taxas, fretes, encargos sociais, fiscais e trabalhistas, serviços e materiais necessários à completa execução dos serviços.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417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3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64332b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480ff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80ff1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80ff1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052e85"/>
    <w:rPr>
      <w:rFonts w:ascii="Times New Roman" w:hAnsi="Times New Roman" w:eastAsia="Times New Roman" w:cs="Times New Roman"/>
      <w:color w:val="00000A"/>
      <w:sz w:val="16"/>
      <w:szCs w:val="16"/>
      <w:lang w:eastAsia="pt-BR"/>
    </w:rPr>
  </w:style>
  <w:style w:type="character" w:styleId="Fontepargpadro3" w:customStyle="1">
    <w:name w:val="Fonte parág. padrão3"/>
    <w:qFormat/>
    <w:rsid w:val="004c347c"/>
    <w:rPr/>
  </w:style>
  <w:style w:type="character" w:styleId="Nfase">
    <w:name w:val="Ênfase"/>
    <w:basedOn w:val="DefaultParagraphFont"/>
    <w:uiPriority w:val="20"/>
    <w:qFormat/>
    <w:rsid w:val="00152562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64332b"/>
    <w:pPr>
      <w:spacing w:lineRule="auto" w:line="288" w:beforeAutospacing="1" w:after="142"/>
    </w:pPr>
    <w:rPr/>
  </w:style>
  <w:style w:type="paragraph" w:styleId="ListParagraph">
    <w:name w:val="List Paragraph"/>
    <w:basedOn w:val="Normal"/>
    <w:uiPriority w:val="34"/>
    <w:qFormat/>
    <w:rsid w:val="0064332b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64332b"/>
    <w:pPr>
      <w:spacing w:beforeAutospacing="1" w:after="119"/>
    </w:pPr>
    <w:rPr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80f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80f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80ff1"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052e85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f55b50"/>
    <w:pPr>
      <w:widowControl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b18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LibreOffice/7.3.4.2$Windows_X86_64 LibreOffice_project/728fec16bd5f605073805c3c9e7c4212a0120dc5</Application>
  <AppVersion>15.0000</AppVersion>
  <DocSecurity>0</DocSecurity>
  <Pages>4</Pages>
  <Words>984</Words>
  <Characters>5453</Characters>
  <CharactersWithSpaces>6388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2023-10-06T13:24:00Z</dcterms:created>
  <dc:creator>administrativo03</dc:creator>
  <dc:description/>
  <dc:language>pt-BR</dc:language>
  <cp:lastModifiedBy/>
  <cp:lastPrinted>2020-01-14T10:38:00Z</cp:lastPrinted>
  <dcterms:modified xsi:type="dcterms:W3CDTF">2023-10-20T09:16:18Z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